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47.792/2025</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90.044/2026</w:t>
      </w:r>
      <w:r>
        <w:rPr>
          <w:rFonts w:ascii="Arial" w:hAnsi="Arial" w:cs="Arial"/>
          <w:sz w:val="22"/>
          <w:szCs w:val="22"/>
        </w:rPr>
        <w:t>, 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contratação de</w:t>
      </w:r>
      <w:bookmarkStart w:id="3" w:name="__DdeLink__668_3221334588"/>
      <w:bookmarkStart w:id="4" w:name="__DdeLink__2205_1530975333"/>
      <w:bookmarkStart w:id="18" w:name="_GoBack"/>
      <w:bookmarkEnd w:id="18"/>
      <w:r>
        <w:rPr>
          <w:rFonts w:ascii="Arial" w:hAnsi="Arial" w:cs="Arial"/>
          <w:b/>
          <w:bCs w:val="0"/>
          <w:iCs/>
          <w:lang w:val="pt-BR" w:eastAsia="pt-BR"/>
        </w:rPr>
        <w:t xml:space="preserve"> AGULHAS, SERINGAS E CATETERES, PARA ATENDER A NECESSIDADE DO HOSPITAL MUNICIPAL RAUL SERTÃ, HOSPITAL MATERNIDADE DR. MÁRIO DUTRA DE CASTRO, SUBSECRETARIA DE ATENÇÃO BÁSICA, ESTRATÉGIA DA SAÚDE DA FAMÍLIA, PROGRAMA MELHOR EM CASA E GERÊNCIA DE SAÚDE MENTAL</w:t>
      </w:r>
      <w:bookmarkEnd w:id="3"/>
      <w:bookmarkEnd w:id="4"/>
      <w:r>
        <w:rPr>
          <w:rFonts w:ascii="Arial" w:hAnsi="Arial" w:cs="Arial"/>
          <w:bCs/>
          <w:iCs/>
        </w:rPr>
        <w:t>,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 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u w:val="single"/>
          <w:lang w:val="pt-BR"/>
        </w:rPr>
        <w:t>3.1  EXECUÇÃO CONTRATUAL</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3.1.1. </w:t>
      </w:r>
      <w:bookmarkStart w:id="5" w:name="__DdeLink__1086_2522526913"/>
      <w:r>
        <w:rPr>
          <w:rFonts w:hint="default" w:ascii="Arial" w:hAnsi="Arial" w:cs="Arial"/>
          <w:bCs/>
          <w:iCs/>
          <w:lang w:val="pt-BR"/>
        </w:rPr>
        <w:t>O prazo de entrega do objeto é de no máximo 30 (trinta) dias corridos, contados a partir do recebimento da nota de empenho, autorização de fornecimento ou documento equivalente</w:t>
      </w:r>
      <w:bookmarkEnd w:id="5"/>
      <w:r>
        <w:rPr>
          <w:rFonts w:hint="default" w:ascii="Arial" w:hAnsi="Arial" w:cs="Arial"/>
          <w:bCs/>
          <w:iCs/>
          <w:lang w:val="pt-BR"/>
        </w:rPr>
        <w: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 Caso não seja possível a entrega na data assinalada, a empresa deverá comunicar as razões respectivas com pelo menos 5 (cinco) dias úteis de antecedência para que qualquer pleito de prorrogação de prazo seja analisado, ressalvadas situações de caso fortuito e força maior;</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3.1.3. A Contratada deverá proceder com a entrega do objeto nos locas e horário arrolados abaixo: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3.1.3.1. </w:t>
      </w:r>
      <w:r>
        <w:rPr>
          <w:rFonts w:hint="default" w:ascii="Arial" w:hAnsi="Arial" w:cs="Arial"/>
          <w:b/>
          <w:bCs w:val="0"/>
          <w:iCs/>
          <w:lang w:val="pt-BR"/>
        </w:rPr>
        <w:t xml:space="preserve">Almoxarifado Central </w:t>
      </w:r>
      <w:r>
        <w:rPr>
          <w:rFonts w:hint="default" w:ascii="Arial" w:hAnsi="Arial" w:cs="Arial"/>
          <w:bCs/>
          <w:iCs/>
          <w:lang w:val="pt-BR"/>
        </w:rPr>
        <w:t>– Av. Conselheiro Julius Arp, nº 80, 2º andar, Centro, Nova Friburgo/RJ. CEP: 28623-000. Respeitando os dias de entrega, de segunda-feira a quinta-feira, nos horários de 09:00h às 16:00h;</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3.1.4. Os materiais serão recebidos provisoriamente, de forma sumária, no prazo de 2 (dois) dias úteis, pelo(a) responsável pelo acompanhamento e fiscalização do contrato, para efeito de posterior verificação de sua conformidade com as especificações constantes no Termo de Referência e na proposta;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3.1.5. Os materiais poderão ser rejeitados, no todo ou em parte, quando em desacordo com as especificações constantes no Termo de Referência e na proposta, devendo ser substituídos no prazo de 3 (três) dias úteis, a contar da notificação da contratada, às suas custas, sem prejuízo da aplicação das penalidades;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3.1.6. Os materiais serão recebidos definitivamente no prazo de 2 (dois) dias úteis, contados do recebimento provisório, após a verificação da qualidade e quantidade do material e consequente aceitação mediante termo detalhado;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3.1.7. Na hipótese de a verificação a que se refere o subitem anterior não ser procedida dentro do prazo fixado, reputar-se-á como realizada, consumando-se o recebimento definitivo no dia do esgotamento do prazo;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3.1.8. O recebimento provisório ou definitivo não excluirá a responsabilidade civil pela solidez e pela segurança do serviço nem a responsabilidade ético-profissional pela perfeita execução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3.1.9. Não cabe para o objeto do presente, prazo de garantia contratual dos bens, complementar à garantia legal.</w:t>
      </w:r>
    </w:p>
    <w:p>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u w:val="single"/>
          <w:lang w:val="pt-BR"/>
        </w:rPr>
        <w:t>3.2 GESTÃO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6" w:name="art115%252525252525252525252525252525251"/>
      <w:bookmarkEnd w:id="6"/>
      <w:bookmarkStart w:id="7" w:name="art115%252525252525252525252525252525252"/>
      <w:bookmarkEnd w:id="7"/>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 A execução do contrato deverá ser acompanhada e fiscalizada pelo(s) fiscal(is) do contrato, ou pelos respectivos substitutos (Lei nº 14.133/2021, art. 117,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3.2.3.1. O fiscal do contrato anotará em registro próprio todas as ocorrências relacionadas à execução do contrato, determinando o que for necessário para a regularização das faltas ou dos defeitos observados (Lei nº 14.133/2021, art. 117,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8" w:name="art117%252525252525252525252525252525252"/>
      <w:bookmarkEnd w:id="8"/>
      <w:r>
        <w:rPr>
          <w:rFonts w:hint="default" w:ascii="Arial" w:hAnsi="Arial" w:cs="Arial"/>
          <w:bCs/>
          <w:iCs/>
          <w:lang w:val="pt-BR"/>
        </w:rPr>
        <w:t>3.2.3.2. O fiscal do contrato informará a seus superiores, em tempo hábil para a adoção das medidas convenientes, a situação que demandar decisão ou providência que ultrapasse sua competência (Lei nº 14.133/2021, art. 117, §2º);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9" w:name="art120"/>
      <w:bookmarkEnd w:id="9"/>
      <w:r>
        <w:rPr>
          <w:rFonts w:hint="default" w:ascii="Arial" w:hAnsi="Arial" w:cs="Arial"/>
          <w:bCs/>
          <w:iCs/>
          <w:lang w:val="pt-BR"/>
        </w:rPr>
        <w:t>3.2.4.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3.2.5. Somente o contratado será responsável pelos encargos trabalhistas, previdenciários, fiscais e comerciais resultantes da execução do contrato (Lei nº 14.133/2021, art. 121,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10" w:name="art121%252525252525252525252525252525252"/>
      <w:bookmarkEnd w:id="10"/>
      <w:r>
        <w:rPr>
          <w:rFonts w:hint="default" w:ascii="Arial" w:hAnsi="Arial" w:cs="Arial"/>
          <w:bCs/>
          <w:iCs/>
          <w:lang w:val="pt-BR"/>
        </w:rPr>
        <w:t>3.2.6. A inadimplência do contratado em relação aos encargos trabalhistas, fiscais e comerciais não transferirá à Administração a responsabilidade pelo seu pagamento e não poderá onerar o objeto do contrato (Lei nº 14.133/2021, art. 121,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bookmarkStart w:id="11" w:name="art122"/>
      <w:bookmarkEnd w:id="11"/>
      <w:bookmarkStart w:id="12" w:name="art123"/>
      <w:bookmarkEnd w:id="12"/>
      <w:bookmarkStart w:id="13" w:name="art122%252525252525252525252525252525251"/>
      <w:bookmarkEnd w:id="13"/>
      <w:bookmarkStart w:id="14" w:name="art122%252525252525252525252525252525253"/>
      <w:bookmarkEnd w:id="14"/>
      <w:bookmarkStart w:id="15" w:name="art122%252525252525252525252525252525252"/>
      <w:bookmarkEnd w:id="15"/>
      <w:r>
        <w:rPr>
          <w:rFonts w:hint="default" w:ascii="Arial" w:hAnsi="Arial" w:cs="Arial"/>
          <w:bCs/>
          <w:iCs/>
          <w:lang w:val="pt-BR"/>
        </w:rPr>
        <w:t>3.2.7. As comunicações entre o órgão ou entidade e a contratada devem ser realizadas por escrito sempre que o ato exigir tal formalidade, admitindo-se, excepcionalmente, o uso de mensagem eletrônica para esse fim;</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3.2.8. O órgão ou entidade poderá convocar representante da empresa para adoção de providências que devam ser cumpridas de imediato;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3.2.9.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3.2.10.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3.2.11. Para o acompanhamento, gestão e fiscalização da execução do presente contrato, serão designados em momento posterior, antes da execução do objeto, agentes públicos gestor, gestor substituto, fiscal, e fiscal substituto;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3.2.12.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3.2.13. O(s) fiscal(is) designado pela Contratante deverá ter a experiência necessária para o acompanhamento e controle da execução dos serviços e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3.2.14. A verificação da adequação da prestação do serviço deverá ser realizada com base nos critérios previstos no Termo de Referência;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3.2.15.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tabs>
          <w:tab w:val="left" w:pos="426"/>
        </w:tabs>
        <w:autoSpaceDE/>
        <w:autoSpaceDN/>
        <w:spacing w:before="120" w:after="120" w:line="276" w:lineRule="auto"/>
        <w:ind w:left="0"/>
        <w:jc w:val="both"/>
        <w:rPr>
          <w:rFonts w:ascii="Arial" w:hAnsi="Arial" w:cs="Arial"/>
          <w:bCs/>
          <w:i/>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 xml:space="preserve">6.1 As notas fiscais deverão ser emitidas em nome do </w:t>
      </w:r>
      <w:r>
        <w:rPr>
          <w:rFonts w:hint="default" w:ascii="Arial" w:hAnsi="Arial" w:cs="Arial" w:eastAsiaTheme="majorEastAsia"/>
          <w:b/>
          <w:bCs/>
          <w:lang w:val="en-US" w:eastAsia="pt-BR"/>
        </w:rPr>
        <w:t xml:space="preserve">FUNDO MUNICIPAL DE SAÚDE, CNPJ: 11.399.442/0001-79 </w:t>
      </w:r>
      <w:bookmarkStart w:id="16" w:name="__DdeLink__8609_3679100508"/>
      <w:r>
        <w:rPr>
          <w:rFonts w:hint="default" w:ascii="Arial" w:hAnsi="Arial" w:cs="Arial" w:eastAsiaTheme="majorEastAsia"/>
          <w:b/>
          <w:bCs/>
          <w:lang w:val="en-US" w:eastAsia="pt-BR"/>
        </w:rPr>
        <w:t>–</w:t>
      </w:r>
      <w:bookmarkEnd w:id="16"/>
      <w:r>
        <w:rPr>
          <w:rFonts w:hint="default" w:ascii="Arial" w:hAnsi="Arial" w:cs="Arial" w:eastAsiaTheme="majorEastAsia"/>
          <w:b/>
          <w:bCs/>
          <w:lang w:val="en-US" w:eastAsia="pt-BR"/>
        </w:rPr>
        <w:t xml:space="preserve"> AVENIDA ALBERTO BRAUNE, Nº 224 SALA 221 – CENTRO – NOVA FRIBURGO/RJ – CEP 28613-001;</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 Liquidação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6.2.1. A liquidação será realizada pela Secretaria Municipal de Fazenda, a partir do cumprimento das obrigações elencadas neste Termo de Referência, em obediência ao Decreto nº 2493 de 07 de novembro de 2023,</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 xml:space="preserve"> https://pmnf.rj.gov.br/legislacao/index </w:t>
      </w:r>
      <w:r>
        <w:rPr>
          <w:rFonts w:hint="default" w:ascii="Arial" w:hAnsi="Arial" w:cs="Arial" w:eastAsiaTheme="majorEastAsia"/>
          <w:b w:val="0"/>
          <w:bCs w:val="0"/>
          <w:lang w:val="en-US" w:eastAsia="pt-BR"/>
        </w:rPr>
        <w:fldChar w:fldCharType="end"/>
      </w:r>
      <w:r>
        <w:rPr>
          <w:rFonts w:hint="default" w:ascii="Arial" w:hAnsi="Arial" w:cs="Arial" w:eastAsiaTheme="majorEastAsia"/>
          <w:b w:val="0"/>
          <w:bCs w:val="0"/>
          <w:lang w:val="en-US" w:eastAsia="pt-BR"/>
        </w:rPr>
        <w:t>;</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6.2.2. 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 xml:space="preserve"> https://pmnf.rj.gov.br/legislacao/index</w:t>
      </w:r>
      <w:r>
        <w:rPr>
          <w:rFonts w:hint="default" w:ascii="Arial" w:hAnsi="Arial" w:cs="Arial" w:eastAsiaTheme="majorEastAsia"/>
          <w:b w:val="0"/>
          <w:bCs w:val="0"/>
          <w:lang w:val="en-US" w:eastAsia="pt-BR"/>
        </w:rPr>
        <w:fldChar w:fldCharType="end"/>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 Pagamento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 O pagamento será efetuado conforme estabelece o Decreto n° 2493 de 07 de novembro de 2023, desde que as certidões listadas abaixo estejam dentro da validade:</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6.3.1.1. Negativa de Débitos Trabalhistas;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6.3.1.2. Fazenda Federal – Abrange as contribuições sociais;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6.3.1.3. FGTS;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6.3.1.4. PGE – Referente à Divida Ativa Estadual;</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6.3.1.5. Municipal – Referente ao ISS e Dívida Ativa;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6.3.1.6. Estadual CND – Referente ao ICMS;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 A Nota Fiscal deverá conter identificação do Banco, número da Agência e da Conta-Corrente, para que possibilite o CONTRATANTE efetuar o pagamento do valor devido;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6.4.1. Na ocorrência de rejeição da(s) Nota(s) Fiscal (s), motivada por erro ou incorreções, o prazo para pagamento estipulado acima passará a ser contado a partir da data de sua reapresentação;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6.4.2.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6.4.3.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hint="default" w:ascii="Arial" w:hAnsi="Arial" w:cs="Arial" w:eastAsiaTheme="majorEastAsia"/>
          <w:b/>
          <w:bCs/>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 xml:space="preserve">Guardar sigilo sobre todas as informações obtidas em decorrência do cumprimento do contrato; </w:t>
      </w:r>
    </w:p>
    <w:p>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5"/>
        <w:numPr>
          <w:ilvl w:val="1"/>
          <w:numId w:val="3"/>
        </w:numPr>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7" w:name="_Hlk114504069"/>
      <w:r>
        <w:rPr>
          <w:rStyle w:val="9"/>
          <w:rFonts w:ascii="Arial" w:hAnsi="Arial" w:eastAsia="Arial" w:cs="Arial"/>
        </w:rPr>
        <w:t>Lei nº 14.133, de 2021</w:t>
      </w:r>
      <w:bookmarkEnd w:id="17"/>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spacing w:line="323" w:lineRule="atLeast"/>
        <w:ind w:left="0" w:leftChars="0" w:hanging="5" w:firstLineChars="0"/>
        <w:jc w:val="both"/>
        <w:rPr>
          <w:rFonts w:ascii="Arial" w:hAnsi="Arial" w:eastAsia="Verdana" w:cs="Arial"/>
          <w:sz w:val="22"/>
          <w:szCs w:val="22"/>
          <w:lang w:val="pt-PT" w:eastAsia="en-US" w:bidi="ar-SA"/>
        </w:rPr>
      </w:pPr>
      <w:r>
        <w:rPr>
          <w:rFonts w:hint="default" w:ascii="Arial" w:hAnsi="Arial" w:eastAsia="Verdana" w:cs="Arial"/>
          <w:sz w:val="22"/>
          <w:szCs w:val="22"/>
          <w:lang w:val="pt-BR" w:eastAsia="en-US" w:bidi="ar-SA"/>
        </w:rPr>
        <w:t xml:space="preserve">13.1 </w:t>
      </w:r>
      <w:r>
        <w:rPr>
          <w:rFonts w:ascii="Arial" w:hAnsi="Arial" w:eastAsia="Verdana" w:cs="Arial"/>
          <w:sz w:val="22"/>
          <w:szCs w:val="22"/>
          <w:lang w:val="pt-PT" w:eastAsia="en-US" w:bidi="ar-SA"/>
        </w:rPr>
        <w:t>As despesas decorrentes da presente contratação correrão à conta de recursos específicos consignados no Orçamento do Município;</w:t>
      </w:r>
    </w:p>
    <w:p>
      <w:pPr>
        <w:spacing w:line="323" w:lineRule="atLeast"/>
        <w:ind w:left="0" w:leftChars="0" w:hanging="5"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1</w:t>
      </w:r>
      <w:r>
        <w:rPr>
          <w:rFonts w:hint="default" w:ascii="Arial" w:hAnsi="Arial" w:cs="Arial"/>
          <w:sz w:val="22"/>
          <w:szCs w:val="22"/>
          <w:lang w:val="pt-BR" w:eastAsia="en-US" w:bidi="ar-SA"/>
        </w:rPr>
        <w:t>3</w:t>
      </w:r>
      <w:r>
        <w:rPr>
          <w:rFonts w:ascii="Arial" w:hAnsi="Arial" w:eastAsia="Verdana" w:cs="Arial"/>
          <w:sz w:val="22"/>
          <w:szCs w:val="22"/>
          <w:lang w:val="pt-PT" w:eastAsia="en-US" w:bidi="ar-SA"/>
        </w:rPr>
        <w:t>.2. A contratação será atendida pela seguinte dotação:</w:t>
      </w:r>
    </w:p>
    <w:p>
      <w:pPr>
        <w:spacing w:line="323" w:lineRule="atLeast"/>
        <w:jc w:val="both"/>
        <w:rPr>
          <w:rFonts w:ascii="Arial" w:hAnsi="Arial" w:eastAsia="Verdana" w:cs="Arial"/>
          <w:sz w:val="22"/>
          <w:szCs w:val="22"/>
          <w:lang w:val="pt-PT" w:eastAsia="en-US" w:bidi="ar-SA"/>
        </w:rPr>
      </w:pPr>
    </w:p>
    <w:tbl>
      <w:tblPr>
        <w:tblStyle w:val="17"/>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0"/>
        <w:gridCol w:w="2635"/>
        <w:gridCol w:w="1051"/>
        <w:gridCol w:w="1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40" w:type="dxa"/>
            <w:shd w:val="clear" w:color="auto" w:fill="D0CECE"/>
            <w:vAlign w:val="center"/>
          </w:tcPr>
          <w:p>
            <w:pPr>
              <w:pStyle w:val="19"/>
              <w:spacing w:line="276" w:lineRule="auto"/>
              <w:ind w:left="0"/>
              <w:jc w:val="center"/>
              <w:rPr>
                <w:rFonts w:asciiTheme="minorHAnsi" w:hAnsiTheme="minorHAnsi" w:cstheme="minorHAnsi"/>
                <w:sz w:val="22"/>
                <w:szCs w:val="22"/>
              </w:rPr>
            </w:pPr>
            <w:r>
              <w:rPr>
                <w:rFonts w:asciiTheme="minorHAnsi" w:hAnsiTheme="minorHAnsi" w:cstheme="minorHAnsi"/>
                <w:b/>
                <w:bCs/>
                <w:iCs/>
                <w:sz w:val="22"/>
                <w:szCs w:val="22"/>
              </w:rPr>
              <w:t>Unidades</w:t>
            </w:r>
          </w:p>
        </w:tc>
        <w:tc>
          <w:tcPr>
            <w:tcW w:w="2635" w:type="dxa"/>
            <w:tcBorders>
              <w:right w:val="nil"/>
            </w:tcBorders>
            <w:shd w:val="clear" w:color="auto" w:fill="D0CECE"/>
            <w:vAlign w:val="center"/>
          </w:tcPr>
          <w:p>
            <w:pPr>
              <w:pStyle w:val="19"/>
              <w:spacing w:line="276" w:lineRule="auto"/>
              <w:ind w:left="40"/>
              <w:jc w:val="center"/>
              <w:rPr>
                <w:rFonts w:asciiTheme="minorHAnsi" w:hAnsiTheme="minorHAnsi" w:cstheme="minorHAnsi"/>
                <w:sz w:val="22"/>
                <w:szCs w:val="22"/>
              </w:rPr>
            </w:pPr>
            <w:r>
              <w:rPr>
                <w:rFonts w:asciiTheme="minorHAnsi" w:hAnsiTheme="minorHAnsi" w:cstheme="minorHAnsi"/>
                <w:b/>
                <w:bCs/>
                <w:iCs/>
                <w:sz w:val="22"/>
                <w:szCs w:val="22"/>
              </w:rPr>
              <w:t>Programa de Trabalho</w:t>
            </w:r>
          </w:p>
        </w:tc>
        <w:tc>
          <w:tcPr>
            <w:tcW w:w="1051" w:type="dxa"/>
            <w:tcBorders>
              <w:right w:val="nil"/>
            </w:tcBorders>
            <w:shd w:val="clear" w:color="auto" w:fill="D0CECE"/>
            <w:vAlign w:val="center"/>
          </w:tcPr>
          <w:p>
            <w:pPr>
              <w:pStyle w:val="19"/>
              <w:spacing w:line="276" w:lineRule="auto"/>
              <w:ind w:left="40"/>
              <w:jc w:val="center"/>
              <w:rPr>
                <w:rFonts w:asciiTheme="minorHAnsi" w:hAnsiTheme="minorHAnsi" w:cstheme="minorHAnsi"/>
                <w:sz w:val="22"/>
                <w:szCs w:val="22"/>
              </w:rPr>
            </w:pPr>
            <w:r>
              <w:rPr>
                <w:rFonts w:asciiTheme="minorHAnsi" w:hAnsiTheme="minorHAnsi" w:cstheme="minorHAnsi"/>
                <w:b/>
                <w:bCs/>
                <w:iCs/>
                <w:sz w:val="22"/>
                <w:szCs w:val="22"/>
              </w:rPr>
              <w:t>Fonte de Recurso</w:t>
            </w:r>
          </w:p>
        </w:tc>
        <w:tc>
          <w:tcPr>
            <w:tcW w:w="1568" w:type="dxa"/>
            <w:shd w:val="clear" w:color="auto" w:fill="D0CECE"/>
            <w:vAlign w:val="center"/>
          </w:tcPr>
          <w:p>
            <w:pPr>
              <w:pStyle w:val="19"/>
              <w:spacing w:line="276" w:lineRule="auto"/>
              <w:ind w:left="40"/>
              <w:jc w:val="center"/>
              <w:rPr>
                <w:rFonts w:asciiTheme="minorHAnsi" w:hAnsiTheme="minorHAnsi" w:cstheme="minorHAnsi"/>
                <w:sz w:val="22"/>
                <w:szCs w:val="22"/>
              </w:rPr>
            </w:pPr>
            <w:r>
              <w:rPr>
                <w:rFonts w:asciiTheme="minorHAnsi" w:hAnsiTheme="minorHAnsi" w:cstheme="minorHAnsi"/>
                <w:b/>
                <w:bCs/>
                <w:iCs/>
                <w:sz w:val="22"/>
                <w:szCs w:val="22"/>
              </w:rPr>
              <w:t>Natureza de Despesa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40" w:type="dxa"/>
            <w:vAlign w:val="center"/>
          </w:tcPr>
          <w:p>
            <w:pPr>
              <w:pStyle w:val="19"/>
              <w:ind w:left="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Hospital Municipal Raul Sertã</w:t>
            </w:r>
          </w:p>
        </w:tc>
        <w:tc>
          <w:tcPr>
            <w:tcW w:w="2635" w:type="dxa"/>
            <w:tcBorders>
              <w:right w:val="nil"/>
            </w:tcBorders>
            <w:vAlign w:val="center"/>
          </w:tcPr>
          <w:p>
            <w:pPr>
              <w:pStyle w:val="19"/>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36001.10.302.1004.2.141</w:t>
            </w:r>
          </w:p>
        </w:tc>
        <w:tc>
          <w:tcPr>
            <w:tcW w:w="1051" w:type="dxa"/>
            <w:vMerge w:val="restart"/>
            <w:tcBorders>
              <w:right w:val="nil"/>
            </w:tcBorders>
            <w:vAlign w:val="center"/>
          </w:tcPr>
          <w:p>
            <w:pPr>
              <w:pStyle w:val="19"/>
              <w:spacing w:line="276" w:lineRule="auto"/>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1600</w:t>
            </w:r>
          </w:p>
        </w:tc>
        <w:tc>
          <w:tcPr>
            <w:tcW w:w="1568" w:type="dxa"/>
            <w:vMerge w:val="restart"/>
            <w:vAlign w:val="center"/>
          </w:tcPr>
          <w:p>
            <w:pPr>
              <w:pStyle w:val="19"/>
              <w:spacing w:line="276" w:lineRule="auto"/>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33.90.30.08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40" w:type="dxa"/>
            <w:vAlign w:val="center"/>
          </w:tcPr>
          <w:p>
            <w:pPr>
              <w:pStyle w:val="19"/>
              <w:ind w:left="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Hospital Maternidade Dr. Mário Dutra de Castro</w:t>
            </w:r>
          </w:p>
        </w:tc>
        <w:tc>
          <w:tcPr>
            <w:tcW w:w="2635" w:type="dxa"/>
            <w:tcBorders>
              <w:right w:val="nil"/>
            </w:tcBorders>
            <w:vAlign w:val="center"/>
          </w:tcPr>
          <w:p>
            <w:pPr>
              <w:pStyle w:val="19"/>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36001.10.302.1004.2.142</w:t>
            </w:r>
          </w:p>
        </w:tc>
        <w:tc>
          <w:tcPr>
            <w:tcW w:w="1051" w:type="dxa"/>
            <w:vMerge w:val="continue"/>
            <w:tcBorders>
              <w:right w:val="nil"/>
            </w:tcBorders>
            <w:vAlign w:val="center"/>
          </w:tcPr>
          <w:p>
            <w:pPr>
              <w:pStyle w:val="19"/>
              <w:spacing w:line="276" w:lineRule="auto"/>
              <w:ind w:left="-102"/>
              <w:jc w:val="center"/>
              <w:rPr>
                <w:rFonts w:ascii="Arial" w:hAnsi="Arial" w:eastAsia="Verdana" w:cs="Arial"/>
                <w:sz w:val="22"/>
                <w:szCs w:val="22"/>
                <w:lang w:val="pt-PT" w:eastAsia="en-US" w:bidi="ar-SA"/>
              </w:rPr>
            </w:pPr>
          </w:p>
        </w:tc>
        <w:tc>
          <w:tcPr>
            <w:tcW w:w="1568" w:type="dxa"/>
            <w:vMerge w:val="continue"/>
            <w:vAlign w:val="center"/>
          </w:tcPr>
          <w:p>
            <w:pPr>
              <w:pStyle w:val="19"/>
              <w:spacing w:line="276" w:lineRule="auto"/>
              <w:ind w:left="-102"/>
              <w:jc w:val="center"/>
              <w:rPr>
                <w:rFonts w:ascii="Arial" w:hAnsi="Arial" w:eastAsia="Verdana" w:cs="Arial"/>
                <w:sz w:val="22"/>
                <w:szCs w:val="22"/>
                <w:lang w:val="pt-PT"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40" w:type="dxa"/>
            <w:tcBorders>
              <w:top w:val="nil"/>
            </w:tcBorders>
            <w:vAlign w:val="center"/>
          </w:tcPr>
          <w:p>
            <w:pPr>
              <w:pStyle w:val="19"/>
              <w:ind w:left="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Subsecretaria de Atenção Básica</w:t>
            </w:r>
          </w:p>
        </w:tc>
        <w:tc>
          <w:tcPr>
            <w:tcW w:w="2635" w:type="dxa"/>
            <w:tcBorders>
              <w:top w:val="nil"/>
              <w:right w:val="nil"/>
            </w:tcBorders>
            <w:vAlign w:val="center"/>
          </w:tcPr>
          <w:p>
            <w:pPr>
              <w:pStyle w:val="19"/>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36001.10.301.1003.2.134</w:t>
            </w:r>
          </w:p>
        </w:tc>
        <w:tc>
          <w:tcPr>
            <w:tcW w:w="1051" w:type="dxa"/>
            <w:vMerge w:val="continue"/>
            <w:tcBorders>
              <w:right w:val="nil"/>
            </w:tcBorders>
            <w:vAlign w:val="center"/>
          </w:tcPr>
          <w:p>
            <w:pPr>
              <w:pStyle w:val="19"/>
              <w:spacing w:line="276" w:lineRule="auto"/>
              <w:ind w:left="-102"/>
              <w:jc w:val="center"/>
              <w:rPr>
                <w:rFonts w:ascii="Arial" w:hAnsi="Arial" w:eastAsia="Verdana" w:cs="Arial"/>
                <w:sz w:val="22"/>
                <w:szCs w:val="22"/>
                <w:lang w:val="pt-PT" w:eastAsia="en-US" w:bidi="ar-SA"/>
              </w:rPr>
            </w:pPr>
          </w:p>
        </w:tc>
        <w:tc>
          <w:tcPr>
            <w:tcW w:w="1568" w:type="dxa"/>
            <w:vMerge w:val="continue"/>
            <w:vAlign w:val="center"/>
          </w:tcPr>
          <w:p>
            <w:pPr>
              <w:pStyle w:val="19"/>
              <w:spacing w:line="276" w:lineRule="auto"/>
              <w:ind w:left="-102"/>
              <w:jc w:val="center"/>
              <w:rPr>
                <w:rFonts w:ascii="Arial" w:hAnsi="Arial" w:eastAsia="Verdana" w:cs="Arial"/>
                <w:sz w:val="22"/>
                <w:szCs w:val="22"/>
                <w:lang w:val="pt-PT"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40" w:type="dxa"/>
            <w:tcBorders>
              <w:top w:val="nil"/>
            </w:tcBorders>
            <w:vAlign w:val="center"/>
          </w:tcPr>
          <w:p>
            <w:pPr>
              <w:pStyle w:val="19"/>
              <w:ind w:left="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Estratégia de Saúde da Família</w:t>
            </w:r>
          </w:p>
        </w:tc>
        <w:tc>
          <w:tcPr>
            <w:tcW w:w="2635" w:type="dxa"/>
            <w:tcBorders>
              <w:top w:val="nil"/>
              <w:right w:val="nil"/>
            </w:tcBorders>
            <w:vAlign w:val="center"/>
          </w:tcPr>
          <w:p>
            <w:pPr>
              <w:pStyle w:val="19"/>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36001.10.301.1003.2.135</w:t>
            </w:r>
          </w:p>
        </w:tc>
        <w:tc>
          <w:tcPr>
            <w:tcW w:w="1051" w:type="dxa"/>
            <w:vMerge w:val="continue"/>
            <w:tcBorders>
              <w:top w:val="nil"/>
              <w:right w:val="nil"/>
            </w:tcBorders>
            <w:vAlign w:val="center"/>
          </w:tcPr>
          <w:p>
            <w:pPr>
              <w:pStyle w:val="19"/>
              <w:spacing w:line="276" w:lineRule="auto"/>
              <w:ind w:left="-102"/>
              <w:jc w:val="center"/>
              <w:rPr>
                <w:rFonts w:ascii="Arial" w:hAnsi="Arial" w:eastAsia="Verdana" w:cs="Arial"/>
                <w:sz w:val="22"/>
                <w:szCs w:val="22"/>
                <w:lang w:val="pt-PT" w:eastAsia="en-US" w:bidi="ar-SA"/>
              </w:rPr>
            </w:pPr>
          </w:p>
        </w:tc>
        <w:tc>
          <w:tcPr>
            <w:tcW w:w="1568" w:type="dxa"/>
            <w:vMerge w:val="continue"/>
            <w:tcBorders>
              <w:top w:val="nil"/>
            </w:tcBorders>
            <w:vAlign w:val="center"/>
          </w:tcPr>
          <w:p>
            <w:pPr>
              <w:pStyle w:val="19"/>
              <w:spacing w:line="276" w:lineRule="auto"/>
              <w:ind w:left="-102"/>
              <w:jc w:val="center"/>
              <w:rPr>
                <w:rFonts w:ascii="Arial" w:hAnsi="Arial" w:eastAsia="Verdana" w:cs="Arial"/>
                <w:sz w:val="22"/>
                <w:szCs w:val="22"/>
                <w:lang w:val="pt-PT"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40" w:type="dxa"/>
            <w:tcBorders>
              <w:top w:val="nil"/>
            </w:tcBorders>
            <w:vAlign w:val="center"/>
          </w:tcPr>
          <w:p>
            <w:pPr>
              <w:pStyle w:val="19"/>
              <w:ind w:left="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Programa Melhor em Casa</w:t>
            </w:r>
          </w:p>
        </w:tc>
        <w:tc>
          <w:tcPr>
            <w:tcW w:w="2635" w:type="dxa"/>
            <w:tcBorders>
              <w:top w:val="nil"/>
              <w:right w:val="nil"/>
            </w:tcBorders>
            <w:vAlign w:val="center"/>
          </w:tcPr>
          <w:p>
            <w:pPr>
              <w:pStyle w:val="19"/>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36001.10.302.1003.2.139</w:t>
            </w:r>
          </w:p>
        </w:tc>
        <w:tc>
          <w:tcPr>
            <w:tcW w:w="1051" w:type="dxa"/>
            <w:vMerge w:val="continue"/>
            <w:tcBorders>
              <w:right w:val="nil"/>
            </w:tcBorders>
            <w:vAlign w:val="center"/>
          </w:tcPr>
          <w:p>
            <w:pPr>
              <w:pStyle w:val="19"/>
              <w:spacing w:line="276" w:lineRule="auto"/>
              <w:ind w:left="-102"/>
              <w:jc w:val="center"/>
              <w:rPr>
                <w:rFonts w:ascii="Arial" w:hAnsi="Arial" w:eastAsia="Verdana" w:cs="Arial"/>
                <w:sz w:val="22"/>
                <w:szCs w:val="22"/>
                <w:lang w:val="pt-PT" w:eastAsia="en-US" w:bidi="ar-SA"/>
              </w:rPr>
            </w:pPr>
          </w:p>
        </w:tc>
        <w:tc>
          <w:tcPr>
            <w:tcW w:w="1568" w:type="dxa"/>
            <w:vMerge w:val="continue"/>
            <w:vAlign w:val="center"/>
          </w:tcPr>
          <w:p>
            <w:pPr>
              <w:pStyle w:val="19"/>
              <w:spacing w:line="276" w:lineRule="auto"/>
              <w:ind w:left="-102"/>
              <w:jc w:val="center"/>
              <w:rPr>
                <w:rFonts w:ascii="Arial" w:hAnsi="Arial" w:eastAsia="Verdana" w:cs="Arial"/>
                <w:sz w:val="22"/>
                <w:szCs w:val="22"/>
                <w:lang w:val="pt-PT"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40" w:type="dxa"/>
            <w:tcBorders>
              <w:top w:val="nil"/>
            </w:tcBorders>
            <w:vAlign w:val="center"/>
          </w:tcPr>
          <w:p>
            <w:pPr>
              <w:pStyle w:val="19"/>
              <w:ind w:left="0"/>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Gerência de Saúde Mental</w:t>
            </w:r>
          </w:p>
        </w:tc>
        <w:tc>
          <w:tcPr>
            <w:tcW w:w="2635" w:type="dxa"/>
            <w:tcBorders>
              <w:top w:val="nil"/>
              <w:right w:val="nil"/>
            </w:tcBorders>
            <w:vAlign w:val="center"/>
          </w:tcPr>
          <w:p>
            <w:pPr>
              <w:pStyle w:val="19"/>
              <w:ind w:left="-102"/>
              <w:jc w:val="center"/>
              <w:rPr>
                <w:rFonts w:ascii="Arial" w:hAnsi="Arial" w:eastAsia="Verdana" w:cs="Arial"/>
                <w:sz w:val="22"/>
                <w:szCs w:val="22"/>
                <w:lang w:val="pt-PT" w:eastAsia="en-US" w:bidi="ar-SA"/>
              </w:rPr>
            </w:pPr>
            <w:r>
              <w:rPr>
                <w:rFonts w:ascii="Arial" w:hAnsi="Arial" w:eastAsia="Verdana" w:cs="Arial"/>
                <w:sz w:val="22"/>
                <w:szCs w:val="22"/>
                <w:lang w:val="pt-PT" w:eastAsia="en-US" w:bidi="ar-SA"/>
              </w:rPr>
              <w:t>36001.10.302.1003.2.138</w:t>
            </w:r>
          </w:p>
        </w:tc>
        <w:tc>
          <w:tcPr>
            <w:tcW w:w="1051" w:type="dxa"/>
            <w:vMerge w:val="continue"/>
            <w:tcBorders>
              <w:right w:val="nil"/>
            </w:tcBorders>
            <w:vAlign w:val="center"/>
          </w:tcPr>
          <w:p>
            <w:pPr>
              <w:pStyle w:val="19"/>
              <w:spacing w:line="276" w:lineRule="auto"/>
              <w:ind w:left="-102"/>
              <w:jc w:val="center"/>
              <w:rPr>
                <w:rFonts w:ascii="Arial" w:hAnsi="Arial" w:eastAsia="Verdana" w:cs="Arial"/>
                <w:sz w:val="22"/>
                <w:szCs w:val="22"/>
                <w:lang w:val="pt-PT" w:eastAsia="en-US" w:bidi="ar-SA"/>
              </w:rPr>
            </w:pPr>
          </w:p>
        </w:tc>
        <w:tc>
          <w:tcPr>
            <w:tcW w:w="1568" w:type="dxa"/>
            <w:vMerge w:val="continue"/>
            <w:vAlign w:val="center"/>
          </w:tcPr>
          <w:p>
            <w:pPr>
              <w:pStyle w:val="19"/>
              <w:spacing w:line="276" w:lineRule="auto"/>
              <w:ind w:left="-102"/>
              <w:jc w:val="center"/>
              <w:rPr>
                <w:rFonts w:ascii="Arial" w:hAnsi="Arial" w:eastAsia="Verdana" w:cs="Arial"/>
                <w:sz w:val="22"/>
                <w:szCs w:val="22"/>
                <w:lang w:val="pt-PT" w:eastAsia="en-US" w:bidi="ar-SA"/>
              </w:rPr>
            </w:pPr>
          </w:p>
        </w:tc>
      </w:tr>
    </w:tbl>
    <w:p>
      <w:pPr>
        <w:spacing w:line="323" w:lineRule="atLeast"/>
        <w:ind w:left="567"/>
        <w:jc w:val="both"/>
        <w:rPr>
          <w:rFonts w:ascii="Arial" w:hAnsi="Arial" w:eastAsia="Verdana" w:cs="Arial"/>
          <w:sz w:val="22"/>
          <w:szCs w:val="22"/>
          <w:lang w:val="pt-PT" w:eastAsia="en-US" w:bidi="ar-SA"/>
        </w:rPr>
      </w:pPr>
    </w:p>
    <w:p>
      <w:pPr>
        <w:spacing w:line="323" w:lineRule="atLeast"/>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1</w:t>
      </w:r>
      <w:r>
        <w:rPr>
          <w:rFonts w:hint="default" w:ascii="Arial" w:hAnsi="Arial" w:cs="Arial"/>
          <w:sz w:val="22"/>
          <w:szCs w:val="22"/>
          <w:lang w:val="pt-BR" w:eastAsia="en-US" w:bidi="ar-SA"/>
        </w:rPr>
        <w:t>3</w:t>
      </w:r>
      <w:r>
        <w:rPr>
          <w:rFonts w:ascii="Arial" w:hAnsi="Arial" w:eastAsia="Verdana" w:cs="Arial"/>
          <w:sz w:val="22"/>
          <w:szCs w:val="22"/>
          <w:lang w:val="pt-PT" w:eastAsia="en-US" w:bidi="ar-SA"/>
        </w:rPr>
        <w:t>.3. A dotação relativa aos exercícios financeiros subsequentes será indicada após aprovação da Lei Orçamentária respectiva e liberação dos créditos correspondentes, mediante apostilamento.</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440" w:leftChars="-200" w:firstLine="14"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9AC39DC"/>
    <w:rsid w:val="11CC2ACE"/>
    <w:rsid w:val="167335F6"/>
    <w:rsid w:val="1AF72D93"/>
    <w:rsid w:val="1B336D56"/>
    <w:rsid w:val="1FD12E07"/>
    <w:rsid w:val="210A4308"/>
    <w:rsid w:val="21B7518C"/>
    <w:rsid w:val="250C7F99"/>
    <w:rsid w:val="26BE7187"/>
    <w:rsid w:val="28D6317B"/>
    <w:rsid w:val="29045899"/>
    <w:rsid w:val="2ABD70FE"/>
    <w:rsid w:val="2AC3180F"/>
    <w:rsid w:val="33307620"/>
    <w:rsid w:val="3C4D19A5"/>
    <w:rsid w:val="3C9967A2"/>
    <w:rsid w:val="3D361311"/>
    <w:rsid w:val="3EF11A5C"/>
    <w:rsid w:val="3F042173"/>
    <w:rsid w:val="43495BE3"/>
    <w:rsid w:val="4D6E68E6"/>
    <w:rsid w:val="501F24D5"/>
    <w:rsid w:val="5C237373"/>
    <w:rsid w:val="5C66793D"/>
    <w:rsid w:val="5F5A074B"/>
    <w:rsid w:val="623C6820"/>
    <w:rsid w:val="62B879E1"/>
    <w:rsid w:val="64D8035A"/>
    <w:rsid w:val="655965EF"/>
    <w:rsid w:val="68532C20"/>
    <w:rsid w:val="6C053DDA"/>
    <w:rsid w:val="749B1192"/>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13</Pages>
  <Words>5363</Words>
  <Characters>28963</Characters>
  <Lines>241</Lines>
  <Paragraphs>68</Paragraphs>
  <TotalTime>14</TotalTime>
  <ScaleCrop>false</ScaleCrop>
  <LinksUpToDate>false</LinksUpToDate>
  <CharactersWithSpaces>34258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izabella.nogueira</cp:lastModifiedBy>
  <cp:lastPrinted>2023-08-22T17:19:00Z</cp:lastPrinted>
  <dcterms:modified xsi:type="dcterms:W3CDTF">2026-04-22T16:51:55Z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